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eastAsia="方正黑体_GBK" w:cs="Times New Roman" w:hAnsi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color w:val="000000"/>
          <w:sz w:val="44"/>
        </w:rPr>
      </w:pPr>
      <w:r>
        <w:rPr>
          <w:rFonts w:ascii="Times New Roman" w:eastAsia="方正小标宋简体" w:cs="Times New Roman" w:hAnsi="Times New Roman"/>
          <w:color w:val="000000"/>
          <w:sz w:val="44"/>
        </w:rPr>
        <w:t>徐州市法学会2024年度法学研究课题指南</w:t>
      </w:r>
    </w:p>
    <w:p>
      <w:pPr>
        <w:spacing w:line="560" w:lineRule="exact"/>
        <w:rPr>
          <w:rFonts w:ascii="Times New Roman" w:eastAsia="方正小标宋简体" w:cs="Times New Roman" w:hAnsi="Times New Roman"/>
          <w:color w:val="000000"/>
          <w:sz w:val="40"/>
        </w:rPr>
      </w:pPr>
    </w:p>
    <w:p>
      <w:pPr>
        <w:spacing w:line="560" w:lineRule="exact"/>
        <w:ind w:firstLineChars="200" w:firstLine="640"/>
        <w:rPr>
          <w:rFonts w:ascii="Times New Roman" w:eastAsia="方正黑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</w:rPr>
        <w:t>一、重点课题（3项）</w:t>
      </w:r>
    </w:p>
    <w:p>
      <w:pPr>
        <w:spacing w:line="560" w:lineRule="exact"/>
        <w:ind w:firstLineChars="200" w:firstLine="640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1．专门学校未成年人教育矫治的实践困境与发展建议研究</w:t>
      </w:r>
    </w:p>
    <w:p>
      <w:pPr>
        <w:spacing w:line="560" w:lineRule="exact"/>
        <w:ind w:firstLineChars="200" w:firstLine="640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2．系统建构法治化营商环境的实践与思考</w:t>
      </w:r>
    </w:p>
    <w:p>
      <w:pPr>
        <w:spacing w:line="560" w:lineRule="exact"/>
        <w:ind w:firstLineChars="200" w:firstLine="640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3．基层社会矛盾纠纷“一站式”化解机制创新研究</w:t>
      </w:r>
    </w:p>
    <w:p>
      <w:pPr>
        <w:spacing w:line="560" w:lineRule="exact"/>
        <w:ind w:firstLineChars="200" w:firstLine="640"/>
        <w:rPr>
          <w:rFonts w:ascii="Times New Roman" w:eastAsia="方正黑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</w:rPr>
        <w:t>二、一般课题（6项）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4．法治化视角下的涉法涉诉信访理念方法革新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5．虚假诉讼的治罪与治理问题研究</w:t>
      </w:r>
    </w:p>
    <w:p>
      <w:pPr>
        <w:spacing w:line="560" w:lineRule="exact"/>
        <w:ind w:firstLineChars="200" w:firstLine="640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6．新时代“枫桥经验”视域下人民法院推动诉源治理实质化研究</w:t>
      </w:r>
    </w:p>
    <w:p>
      <w:pPr>
        <w:spacing w:line="560" w:lineRule="exact"/>
        <w:ind w:firstLineChars="200" w:firstLine="640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7．未成年人权益保护及预防违法犯罪中的法律问题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8．新时代视野下未成年人司法救助优化路径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9．优化营商环境背景下深化“执破融合”机制研究</w:t>
      </w:r>
    </w:p>
    <w:p>
      <w:pPr>
        <w:spacing w:line="560" w:lineRule="exact"/>
        <w:ind w:firstLine="630"/>
        <w:rPr>
          <w:rFonts w:ascii="Times New Roman" w:eastAsia="方正黑体_GBK" w:cs="Times New Roman" w:hAnsi="Times New Roman"/>
          <w:sz w:val="32"/>
          <w:szCs w:val="32"/>
        </w:rPr>
      </w:pPr>
      <w:r>
        <w:rPr>
          <w:rFonts w:ascii="Times New Roman" w:eastAsia="方正黑体_GBK" w:cs="Times New Roman" w:hAnsi="Times New Roman"/>
          <w:sz w:val="32"/>
          <w:szCs w:val="32"/>
        </w:rPr>
        <w:t>三、青年课题（5项）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10．能动司法理念下的未成年人犯罪预防与社会治理</w:t>
      </w:r>
    </w:p>
    <w:p>
      <w:pPr>
        <w:spacing w:line="560" w:lineRule="exact"/>
        <w:ind w:firstLineChars="200" w:firstLine="640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11．网络诈骗犯罪协同治理研究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12．拒不执行判决、裁定罪案件办理困境及破局</w:t>
      </w:r>
    </w:p>
    <w:p>
      <w:pPr>
        <w:spacing w:line="560" w:lineRule="exact"/>
        <w:ind w:firstLineChars="200" w:firstLine="640"/>
        <w:rPr>
          <w:rFonts w:ascii="Times New Roman" w:eastAsia="方正楷体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13．诉前调解制度的现实困境与对策研究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14．人民调解“泛行政化”的法治纠偏</w:t>
      </w:r>
    </w:p>
    <w:sectPr>
      <w:footerReference w:type="default" r:id="rId2"/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2094123362"/>
      <w:docPartObj>
        <w:docPartGallery w:val="Page Numbers (Bottom of Page)"/>
        <w:docPartUnique/>
      </w:docPartObj>
    </w:sdtPr>
    <w:sdtContent>
      <w:p>
        <w:pPr>
          <w:pStyle w:val="17"/>
          <w:tabs>
            <w:tab w:val="center" w:pos="4153"/>
            <w:tab w:val="right" w:pos="8306"/>
          </w:tabs>
          <w:wordWrap w:val="0"/>
          <w:jc w:val="right"/>
        </w:pPr>
        <w:r>
          <w:rPr>
            <w:rFonts w:ascii="宋体" w:eastAsia="宋体" w:hint="eastAsia"/>
            <w:sz w:val="28"/>
            <w:szCs w:val="28"/>
          </w:rPr>
          <w:t xml:space="preserve">— </w:t>
        </w:r>
        <w:r>
          <w:rPr>
            <w:rFonts w:ascii="宋体" w:eastAsia="宋体" w:cs="Times New Roman"/>
            <w:sz w:val="28"/>
            <w:szCs w:val="28"/>
          </w:rPr>
          <w:fldChar w:fldCharType="begin"/>
        </w:r>
        <w:r>
          <w:rPr>
            <w:rFonts w:ascii="宋体" w:eastAsia="宋体" w:cs="Times New Roman"/>
            <w:sz w:val="28"/>
            <w:szCs w:val="28"/>
          </w:rPr>
          <w:instrText xml:space="preserve"> PAGE   \* MERGEFORMAT </w:instrText>
        </w:r>
        <w:r>
          <w:rPr>
            <w:rFonts w:ascii="宋体" w:eastAsia="宋体" w:cs="Times New Roman"/>
            <w:sz w:val="28"/>
            <w:szCs w:val="28"/>
          </w:rPr>
          <w:fldChar w:fldCharType="separate"/>
        </w:r>
        <w:r>
          <w:rPr>
            <w:rFonts w:ascii="宋体" w:eastAsia="宋体" w:cs="Times New Roman"/>
            <w:sz w:val="28"/>
            <w:szCs w:val="28"/>
            <w:lang w:val="zh-CN"/>
          </w:rPr>
          <w:t>1</w:t>
        </w:r>
        <w:r>
          <w:rPr>
            <w:rFonts w:ascii="宋体" w:eastAsia="宋体" w:cs="Times New Roman"/>
            <w:sz w:val="28"/>
            <w:szCs w:val="28"/>
          </w:rPr>
          <w:fldChar w:fldCharType="end"/>
        </w:r>
        <w:r>
          <w:rPr>
            <w:rFonts w:ascii="宋体" w:eastAsia="宋体" w:cs="Times New Roman" w:hint="eastAsia"/>
            <w:sz w:val="28"/>
            <w:szCs w:val="28"/>
          </w:rPr>
          <w:t xml:space="preserve"> — </w:t>
        </w:r>
        <w:r>
          <w:rPr>
            <w:rFonts w:ascii="Times New Roman" w:eastAsia="方正仿宋_GBK" w:cs="Times New Roman" w:hAnsi="Times New Roman" w:hint="eastAsia"/>
            <w:sz w:val="28"/>
          </w:rPr>
          <w:t xml:space="preserve"> </w:t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Date"/>
    <w:basedOn w:val="0"/>
    <w:next w:val="0"/>
    <w:pPr>
      <w:ind w:leftChars="2500" w:left="2500"/>
    </w:pPr>
  </w:style>
  <w:style w:type="paragraph" w:customStyle="1" w:styleId="19">
    <w:name w:val="样式6"/>
    <w:basedOn w:val="0"/>
    <w:pPr>
      <w:autoSpaceDE w:val="0"/>
      <w:autoSpaceDN w:val="0"/>
      <w:snapToGrid w:val="0"/>
      <w:spacing w:line="567" w:lineRule="exact"/>
      <w:jc w:val="center"/>
    </w:pPr>
    <w:rPr>
      <w:rFonts w:ascii="Times New Roman" w:eastAsia="方正楷体_GBK" w:cs="Times New Roman" w:hAnsi="Times New Roman"/>
      <w:sz w:val="32"/>
      <w:szCs w:val="20"/>
    </w:rPr>
  </w:style>
  <w:style w:type="character" w:styleId="20">
    <w:name w:val="Hyperlink"/>
    <w:basedOn w:val="10"/>
    <w:rPr>
      <w:color w:val="0000FF"/>
      <w:u w:val="single"/>
    </w:rPr>
  </w:style>
  <w:style w:type="paragraph" w:styleId="21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746</TotalTime>
  <Application>Yozo_Office27021597764231179</Application>
  <Pages>1</Pages>
  <Words>340</Words>
  <Characters>348</Characters>
  <Lines>21</Lines>
  <Paragraphs>18</Paragraphs>
  <CharactersWithSpaces>348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市政法委</dc:creator>
  <cp:lastModifiedBy>user</cp:lastModifiedBy>
  <cp:revision>28</cp:revision>
  <cp:lastPrinted>2024-04-09T05:35:34Z</cp:lastPrinted>
  <dcterms:created xsi:type="dcterms:W3CDTF">2023-05-08T02:35:00Z</dcterms:created>
  <dcterms:modified xsi:type="dcterms:W3CDTF">2024-04-10T06:29:09Z</dcterms:modified>
</cp:coreProperties>
</file>