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0"/>
          <w:szCs w:val="30"/>
        </w:rPr>
        <w:t>附件1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18"/>
          <w:szCs w:val="18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各地各部门推荐名额分配表</w:t>
      </w:r>
    </w:p>
    <w:tbl>
      <w:tblPr>
        <w:tblStyle w:val="4"/>
        <w:tblW w:w="9297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1848"/>
        <w:gridCol w:w="1848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  <w:t>单   位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  <w:t>标兵单位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  <w:t>杰出卫士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 w:val="30"/>
                <w:szCs w:val="30"/>
              </w:rPr>
              <w:t>政法（综治、法治）先进工作者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市中级人民法院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方正黑体简体"/>
                <w:color w:val="000000"/>
                <w:sz w:val="28"/>
                <w:szCs w:val="28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市人民检察院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方正黑体简体"/>
                <w:color w:val="000000"/>
                <w:sz w:val="28"/>
                <w:szCs w:val="28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市公安局（含消防支队）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方正黑体简体"/>
                <w:color w:val="000000"/>
                <w:sz w:val="28"/>
                <w:szCs w:val="28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市司法局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市国家安全局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方正黑体简体"/>
                <w:color w:val="000000"/>
                <w:sz w:val="28"/>
                <w:szCs w:val="28"/>
              </w:rPr>
            </w:pPr>
            <w:r>
              <w:rPr>
                <w:rFonts w:hint="eastAsia"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丰  县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tabs>
                <w:tab w:val="center" w:pos="1586"/>
                <w:tab w:val="right" w:pos="3172"/>
              </w:tabs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沛  县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睢宁县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邳州市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新沂市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铜山区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贾汪区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鼓楼区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云龙区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泉山区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徐州经济技术开发区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市委政法委机关</w:t>
            </w: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560" w:lineRule="exact"/>
              <w:jc w:val="center"/>
              <w:rPr>
                <w:rFonts w:eastAsia="方正黑体简体"/>
                <w:color w:val="00000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sz w:val="28"/>
                <w:szCs w:val="28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</dc:creator>
  <cp:lastModifiedBy>▄︻┻═┳一(ˉ﹃ˉ)</cp:lastModifiedBy>
  <dcterms:modified xsi:type="dcterms:W3CDTF">2018-01-22T06:31:54Z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